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B2" w:rsidRDefault="000369B2" w:rsidP="00F24198">
      <w:pPr>
        <w:widowControl w:val="0"/>
        <w:tabs>
          <w:tab w:val="left" w:pos="4320"/>
        </w:tabs>
        <w:spacing w:before="26"/>
      </w:pPr>
      <w:r>
        <w:tab/>
      </w:r>
    </w:p>
    <w:p w:rsidR="00641071" w:rsidRDefault="00641071" w:rsidP="0081540F">
      <w:pPr>
        <w:widowControl w:val="0"/>
        <w:tabs>
          <w:tab w:val="right" w:pos="10065"/>
        </w:tabs>
        <w:spacing w:line="252" w:lineRule="exact"/>
        <w:jc w:val="right"/>
        <w:rPr>
          <w:rFonts w:ascii="Georgia" w:hAnsi="Georgia" w:cs="Georgia"/>
          <w:color w:val="000000"/>
        </w:rPr>
      </w:pPr>
    </w:p>
    <w:p w:rsidR="00641071" w:rsidRDefault="00641071" w:rsidP="0081540F">
      <w:pPr>
        <w:widowControl w:val="0"/>
        <w:tabs>
          <w:tab w:val="right" w:pos="10065"/>
        </w:tabs>
        <w:spacing w:line="252" w:lineRule="exact"/>
        <w:jc w:val="right"/>
        <w:rPr>
          <w:rFonts w:ascii="Georgia" w:hAnsi="Georgia" w:cs="Georgia"/>
          <w:color w:val="000000"/>
        </w:rPr>
      </w:pPr>
    </w:p>
    <w:p w:rsidR="00641071" w:rsidRPr="00C65819" w:rsidRDefault="00C65819" w:rsidP="00C65819">
      <w:pPr>
        <w:widowControl w:val="0"/>
        <w:tabs>
          <w:tab w:val="center" w:pos="5040"/>
        </w:tabs>
        <w:spacing w:line="274" w:lineRule="exact"/>
        <w:jc w:val="center"/>
        <w:rPr>
          <w:rFonts w:ascii="Lucida Bright" w:hAnsi="Lucida Bright" w:cs="Georgia"/>
          <w:b/>
          <w:bCs/>
          <w:color w:val="000000"/>
          <w:sz w:val="24"/>
          <w:szCs w:val="24"/>
        </w:rPr>
      </w:pPr>
      <w:r w:rsidRPr="00C65819">
        <w:rPr>
          <w:rFonts w:ascii="Georgia" w:hAnsi="Georgia" w:cs="Georgia"/>
          <w:b/>
          <w:color w:val="000000"/>
          <w:sz w:val="24"/>
          <w:szCs w:val="24"/>
        </w:rPr>
        <w:t>Public Notice Mandatory Language for Monitoring and Reporting Violation Operation Evaluation Report</w:t>
      </w:r>
    </w:p>
    <w:p w:rsidR="00641071" w:rsidRDefault="00641071" w:rsidP="00641071">
      <w:pPr>
        <w:widowControl w:val="0"/>
        <w:spacing w:line="252" w:lineRule="exact"/>
      </w:pPr>
    </w:p>
    <w:p w:rsidR="00641071" w:rsidRDefault="00641071" w:rsidP="00641071">
      <w:pPr>
        <w:widowControl w:val="0"/>
        <w:spacing w:line="252" w:lineRule="exact"/>
        <w:rPr>
          <w:rFonts w:ascii="Lucida Bright" w:hAnsi="Lucida Bright" w:cs="Georgia"/>
          <w:color w:val="000000"/>
        </w:rPr>
      </w:pPr>
    </w:p>
    <w:p w:rsidR="00641071" w:rsidRPr="00FC183A" w:rsidRDefault="00641071" w:rsidP="00641071">
      <w:pPr>
        <w:widowControl w:val="0"/>
        <w:spacing w:line="252" w:lineRule="exact"/>
        <w:ind w:left="2" w:firstLine="1"/>
        <w:rPr>
          <w:rFonts w:ascii="Georgia" w:hAnsi="Georgia" w:cs="Georgia"/>
          <w:color w:val="000000"/>
          <w:sz w:val="24"/>
          <w:szCs w:val="24"/>
        </w:rPr>
      </w:pPr>
      <w:r w:rsidRPr="00FC183A">
        <w:rPr>
          <w:rFonts w:ascii="Lucida Bright" w:hAnsi="Lucida Bright" w:cs="Georgia"/>
          <w:color w:val="000000"/>
          <w:sz w:val="24"/>
          <w:szCs w:val="24"/>
        </w:rPr>
        <w:t xml:space="preserve">The </w:t>
      </w:r>
      <w:r w:rsidR="00C65819">
        <w:rPr>
          <w:rFonts w:ascii="Lucida Bright" w:hAnsi="Lucida Bright" w:cs="Georgia"/>
          <w:color w:val="000000"/>
          <w:sz w:val="24"/>
          <w:szCs w:val="24"/>
        </w:rPr>
        <w:t xml:space="preserve">Westbound WSC water system PWS ID TX060027 has violated the monitoring and reporting requirements set by </w:t>
      </w:r>
      <w:r w:rsidRPr="00FC183A">
        <w:rPr>
          <w:rFonts w:ascii="Lucida Bright" w:hAnsi="Lucida Bright" w:cs="Georgia"/>
          <w:color w:val="000000"/>
          <w:sz w:val="24"/>
          <w:szCs w:val="24"/>
        </w:rPr>
        <w:t>Texas Commission on Environmental Quality (TCEQ)</w:t>
      </w:r>
      <w:r w:rsidR="00C65819">
        <w:rPr>
          <w:rFonts w:ascii="Lucida Bright" w:hAnsi="Lucida Bright" w:cs="Georgia"/>
          <w:color w:val="000000"/>
          <w:sz w:val="24"/>
          <w:szCs w:val="24"/>
        </w:rPr>
        <w:t xml:space="preserve"> in Chapter 30, Section §290, Subchapter F. Public water systems in exceedance of an operation evaluation level are required to conduct an evaluation of their source water, treatment and distribution operations and submit a report of their findings to the TCEQ.</w:t>
      </w:r>
    </w:p>
    <w:p w:rsidR="00641071" w:rsidRPr="00FC183A" w:rsidRDefault="00641071" w:rsidP="00641071">
      <w:pPr>
        <w:widowControl w:val="0"/>
        <w:spacing w:line="228" w:lineRule="exact"/>
        <w:rPr>
          <w:sz w:val="24"/>
          <w:szCs w:val="24"/>
        </w:rPr>
      </w:pPr>
    </w:p>
    <w:p w:rsidR="00641071" w:rsidRPr="00FC183A" w:rsidRDefault="00C65819" w:rsidP="00641071">
      <w:pPr>
        <w:widowControl w:val="0"/>
        <w:spacing w:line="252" w:lineRule="exact"/>
        <w:rPr>
          <w:rFonts w:ascii="Lucida Bright" w:hAnsi="Lucida Bright" w:cs="Georgia"/>
          <w:color w:val="000000"/>
          <w:sz w:val="24"/>
          <w:szCs w:val="24"/>
        </w:rPr>
      </w:pPr>
      <w:r>
        <w:rPr>
          <w:rFonts w:ascii="Lucida Bright" w:hAnsi="Lucida Bright" w:cs="Georgia"/>
          <w:color w:val="000000"/>
          <w:sz w:val="24"/>
          <w:szCs w:val="24"/>
        </w:rPr>
        <w:t>We failed to conduct an operational evaluation and/or submit a report to the TCEQ.</w:t>
      </w:r>
    </w:p>
    <w:p w:rsidR="00641071" w:rsidRPr="00FC183A" w:rsidRDefault="00641071" w:rsidP="00641071">
      <w:pPr>
        <w:widowControl w:val="0"/>
        <w:spacing w:line="252" w:lineRule="exact"/>
        <w:rPr>
          <w:sz w:val="24"/>
          <w:szCs w:val="24"/>
        </w:rPr>
      </w:pPr>
    </w:p>
    <w:p w:rsidR="00641071" w:rsidRDefault="00C65819" w:rsidP="00641071">
      <w:pPr>
        <w:widowControl w:val="0"/>
        <w:spacing w:line="252" w:lineRule="exact"/>
        <w:rPr>
          <w:rFonts w:ascii="Lucida Bright" w:hAnsi="Lucida Bright"/>
          <w:sz w:val="24"/>
          <w:szCs w:val="24"/>
        </w:rPr>
      </w:pPr>
      <w:r>
        <w:rPr>
          <w:rFonts w:ascii="Lucida Bright" w:hAnsi="Lucida Bright"/>
          <w:sz w:val="24"/>
          <w:szCs w:val="24"/>
        </w:rPr>
        <w:t>This/ These violation(s) occurred in the monitoring period(s) quarter four 2019.</w:t>
      </w:r>
    </w:p>
    <w:p w:rsidR="00C65819" w:rsidRPr="00FC183A" w:rsidRDefault="00C65819" w:rsidP="00641071">
      <w:pPr>
        <w:widowControl w:val="0"/>
        <w:spacing w:line="252" w:lineRule="exact"/>
        <w:rPr>
          <w:rFonts w:ascii="Lucida Bright" w:hAnsi="Lucida Bright"/>
          <w:sz w:val="24"/>
          <w:szCs w:val="24"/>
        </w:rPr>
      </w:pPr>
    </w:p>
    <w:p w:rsidR="00641071" w:rsidRDefault="00641071" w:rsidP="00641071">
      <w:pPr>
        <w:rPr>
          <w:rFonts w:ascii="Lucida Bright" w:hAnsi="Lucida Bright" w:cs="Times New Roman"/>
          <w:sz w:val="24"/>
          <w:szCs w:val="24"/>
        </w:rPr>
      </w:pPr>
      <w:r w:rsidRPr="00FC183A">
        <w:rPr>
          <w:rFonts w:ascii="Lucida Bright" w:hAnsi="Lucida Bright" w:cs="Times New Roman"/>
          <w:sz w:val="24"/>
          <w:szCs w:val="24"/>
        </w:rPr>
        <w:t>We are taking the following actions to address this issue:</w:t>
      </w:r>
    </w:p>
    <w:p w:rsidR="00641071" w:rsidRPr="00FC183A" w:rsidRDefault="00641071" w:rsidP="00641071">
      <w:pPr>
        <w:rPr>
          <w:rFonts w:ascii="Lucida Bright" w:hAnsi="Lucida Bright" w:cs="Times New Roman"/>
          <w:sz w:val="24"/>
          <w:szCs w:val="24"/>
        </w:rPr>
      </w:pPr>
    </w:p>
    <w:p w:rsidR="00641071" w:rsidRPr="00FC183A" w:rsidRDefault="00C65819" w:rsidP="00641071">
      <w:pPr>
        <w:rPr>
          <w:rFonts w:ascii="Georgia" w:hAnsi="Georgia" w:cs="Times New Roman"/>
          <w:b/>
          <w:sz w:val="24"/>
          <w:szCs w:val="24"/>
          <w:u w:val="single"/>
        </w:rPr>
      </w:pPr>
      <w:r>
        <w:rPr>
          <w:rFonts w:ascii="Georgia" w:hAnsi="Georgia" w:cs="Times New Roman"/>
          <w:sz w:val="24"/>
          <w:szCs w:val="24"/>
          <w:u w:val="single"/>
        </w:rPr>
        <w:t xml:space="preserve">Evaluation Report was completed, but not sent. The report has been sent to TCEQ after receiving notification. </w:t>
      </w:r>
    </w:p>
    <w:p w:rsidR="00641071" w:rsidRPr="00FC183A" w:rsidRDefault="00641071" w:rsidP="00641071">
      <w:pPr>
        <w:rPr>
          <w:rFonts w:ascii="Georgia" w:hAnsi="Georgia" w:cs="Times New Roman"/>
          <w:b/>
          <w:sz w:val="24"/>
          <w:szCs w:val="24"/>
          <w:u w:val="single"/>
        </w:rPr>
      </w:pPr>
    </w:p>
    <w:p w:rsidR="00641071" w:rsidRPr="00FC183A" w:rsidRDefault="00641071" w:rsidP="00641071">
      <w:pPr>
        <w:widowControl w:val="0"/>
        <w:spacing w:line="252" w:lineRule="exact"/>
        <w:rPr>
          <w:sz w:val="24"/>
          <w:szCs w:val="24"/>
        </w:rPr>
      </w:pPr>
    </w:p>
    <w:p w:rsidR="00641071" w:rsidRPr="00FC183A" w:rsidRDefault="00641071" w:rsidP="00641071">
      <w:pPr>
        <w:widowControl w:val="0"/>
        <w:spacing w:line="252" w:lineRule="exact"/>
        <w:rPr>
          <w:rFonts w:ascii="Lucida Bright" w:hAnsi="Lucida Bright" w:cs="Georgia"/>
          <w:color w:val="000000"/>
          <w:sz w:val="24"/>
          <w:szCs w:val="24"/>
        </w:rPr>
      </w:pPr>
      <w:r w:rsidRPr="00FC183A">
        <w:rPr>
          <w:rFonts w:ascii="Lucida Bright" w:hAnsi="Lucida Bright" w:cs="Georgia"/>
          <w:color w:val="000000"/>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641071" w:rsidRPr="00FC183A" w:rsidRDefault="00641071" w:rsidP="00641071">
      <w:pPr>
        <w:widowControl w:val="0"/>
        <w:spacing w:line="252" w:lineRule="exact"/>
        <w:rPr>
          <w:rFonts w:ascii="Lucida Bright" w:hAnsi="Lucida Bright"/>
          <w:sz w:val="24"/>
          <w:szCs w:val="24"/>
        </w:rPr>
      </w:pPr>
    </w:p>
    <w:p w:rsidR="00641071" w:rsidRPr="00FC183A" w:rsidRDefault="00641071" w:rsidP="00641071">
      <w:pPr>
        <w:widowControl w:val="0"/>
        <w:spacing w:line="252" w:lineRule="exact"/>
        <w:rPr>
          <w:rFonts w:ascii="Georgia" w:hAnsi="Georgia" w:cs="Georgia"/>
          <w:color w:val="000000"/>
          <w:sz w:val="24"/>
          <w:szCs w:val="24"/>
        </w:rPr>
      </w:pPr>
      <w:r w:rsidRPr="00FC183A">
        <w:rPr>
          <w:rFonts w:ascii="Lucida Bright" w:hAnsi="Lucida Bright" w:cs="Georgia"/>
          <w:color w:val="000000"/>
          <w:sz w:val="24"/>
          <w:szCs w:val="24"/>
        </w:rPr>
        <w:t>If you have questions regarding this matter, you may contact Westbound WSC’s</w:t>
      </w:r>
      <w:r w:rsidRPr="00FC183A">
        <w:rPr>
          <w:rFonts w:ascii="Georgia" w:hAnsi="Georgia" w:cs="Georgia"/>
          <w:bCs/>
          <w:color w:val="000000"/>
          <w:sz w:val="24"/>
          <w:szCs w:val="24"/>
        </w:rPr>
        <w:t xml:space="preserve"> Executive Director – Randy Nix</w:t>
      </w:r>
      <w:r w:rsidRPr="00FC183A">
        <w:rPr>
          <w:rFonts w:ascii="Georgia" w:hAnsi="Georgia" w:cs="Georgia"/>
          <w:b/>
          <w:bCs/>
          <w:color w:val="000000"/>
          <w:sz w:val="24"/>
          <w:szCs w:val="24"/>
        </w:rPr>
        <w:t xml:space="preserve"> </w:t>
      </w:r>
      <w:r w:rsidRPr="00FC183A">
        <w:rPr>
          <w:rFonts w:ascii="Lucida Bright" w:hAnsi="Lucida Bright" w:cs="Georgia"/>
          <w:color w:val="000000"/>
          <w:sz w:val="24"/>
          <w:szCs w:val="24"/>
        </w:rPr>
        <w:t>at</w:t>
      </w:r>
      <w:r w:rsidRPr="00FC183A">
        <w:rPr>
          <w:rFonts w:ascii="Georgia" w:hAnsi="Georgia" w:cs="Georgia"/>
          <w:color w:val="000000"/>
          <w:sz w:val="24"/>
          <w:szCs w:val="24"/>
        </w:rPr>
        <w:t xml:space="preserve"> </w:t>
      </w:r>
      <w:r w:rsidRPr="00FC183A">
        <w:rPr>
          <w:rFonts w:ascii="Georgia" w:hAnsi="Georgia" w:cs="Georgia"/>
          <w:b/>
          <w:i/>
          <w:color w:val="000000"/>
          <w:sz w:val="24"/>
          <w:szCs w:val="24"/>
        </w:rPr>
        <w:t>254-442-3348</w:t>
      </w:r>
      <w:r w:rsidRPr="00FC183A">
        <w:rPr>
          <w:rFonts w:ascii="Georgia" w:hAnsi="Georgia" w:cs="Georgia"/>
          <w:color w:val="000000"/>
          <w:sz w:val="24"/>
          <w:szCs w:val="24"/>
        </w:rPr>
        <w:t>.</w:t>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t xml:space="preserve">   </w:t>
      </w:r>
    </w:p>
    <w:p w:rsidR="00641071" w:rsidRDefault="00641071" w:rsidP="00641071">
      <w:pPr>
        <w:widowControl w:val="0"/>
        <w:tabs>
          <w:tab w:val="right" w:pos="10065"/>
        </w:tabs>
        <w:spacing w:line="252" w:lineRule="exact"/>
        <w:rPr>
          <w:sz w:val="24"/>
          <w:szCs w:val="24"/>
        </w:rPr>
      </w:pPr>
      <w:r w:rsidRPr="00FC183A">
        <w:rPr>
          <w:sz w:val="24"/>
          <w:szCs w:val="24"/>
        </w:rPr>
        <w:tab/>
      </w: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jc w:val="right"/>
        <w:rPr>
          <w:rFonts w:ascii="Georgia" w:hAnsi="Georgia" w:cs="Georgia"/>
          <w:color w:val="000000"/>
        </w:rPr>
      </w:pPr>
      <w:r w:rsidRPr="00FC183A">
        <w:rPr>
          <w:rFonts w:ascii="Lucida Bright" w:hAnsi="Lucida Bright" w:cs="Georgia"/>
          <w:color w:val="000000"/>
        </w:rPr>
        <w:t>Posted /Delivered on:</w:t>
      </w:r>
      <w:r w:rsidRPr="00FC183A">
        <w:rPr>
          <w:rFonts w:ascii="Georgia" w:hAnsi="Georgia" w:cs="Georgia"/>
          <w:color w:val="000000"/>
        </w:rPr>
        <w:t xml:space="preserve"> </w:t>
      </w:r>
      <w:r>
        <w:rPr>
          <w:rFonts w:ascii="Georgia" w:hAnsi="Georgia" w:cs="Georgia"/>
          <w:color w:val="000000"/>
        </w:rPr>
        <w:t xml:space="preserve">May </w:t>
      </w:r>
      <w:r w:rsidR="00C65819">
        <w:rPr>
          <w:rFonts w:ascii="Georgia" w:hAnsi="Georgia" w:cs="Georgia"/>
          <w:color w:val="000000"/>
        </w:rPr>
        <w:t>28</w:t>
      </w:r>
      <w:r w:rsidR="00C65819" w:rsidRPr="00C65819">
        <w:rPr>
          <w:rFonts w:ascii="Georgia" w:hAnsi="Georgia" w:cs="Georgia"/>
          <w:color w:val="000000"/>
          <w:vertAlign w:val="superscript"/>
        </w:rPr>
        <w:t>th</w:t>
      </w:r>
      <w:bookmarkStart w:id="0" w:name="_GoBack"/>
      <w:bookmarkEnd w:id="0"/>
      <w:r>
        <w:rPr>
          <w:rFonts w:ascii="Georgia" w:hAnsi="Georgia" w:cs="Georgia"/>
          <w:color w:val="000000"/>
        </w:rPr>
        <w:t>, 2020</w:t>
      </w: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Pr="0057039E" w:rsidRDefault="00641071" w:rsidP="00EC2BDF">
      <w:pPr>
        <w:widowControl w:val="0"/>
        <w:spacing w:line="252" w:lineRule="exact"/>
        <w:rPr>
          <w:rFonts w:ascii="Georgia" w:hAnsi="Georgia" w:cs="Georgia"/>
          <w:color w:val="000000"/>
          <w:sz w:val="22"/>
          <w:szCs w:val="22"/>
        </w:rPr>
      </w:pPr>
    </w:p>
    <w:sectPr w:rsidR="00641071" w:rsidRPr="0057039E">
      <w:footerReference w:type="default" r:id="rId8"/>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B9" w:rsidRDefault="008C3BB9">
      <w:r>
        <w:separator/>
      </w:r>
    </w:p>
  </w:endnote>
  <w:endnote w:type="continuationSeparator" w:id="0">
    <w:p w:rsidR="008C3BB9" w:rsidRDefault="008C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B9" w:rsidRDefault="008C3BB9">
      <w:r>
        <w:separator/>
      </w:r>
    </w:p>
  </w:footnote>
  <w:footnote w:type="continuationSeparator" w:id="0">
    <w:p w:rsidR="008C3BB9" w:rsidRDefault="008C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9"/>
    <w:rsid w:val="00025377"/>
    <w:rsid w:val="000369B2"/>
    <w:rsid w:val="00073C39"/>
    <w:rsid w:val="000F1876"/>
    <w:rsid w:val="00127F08"/>
    <w:rsid w:val="00131144"/>
    <w:rsid w:val="001D213F"/>
    <w:rsid w:val="001D616B"/>
    <w:rsid w:val="00212D6F"/>
    <w:rsid w:val="002468CC"/>
    <w:rsid w:val="003435CA"/>
    <w:rsid w:val="003A3276"/>
    <w:rsid w:val="003D569D"/>
    <w:rsid w:val="00403E4C"/>
    <w:rsid w:val="004977AF"/>
    <w:rsid w:val="004A324E"/>
    <w:rsid w:val="00523985"/>
    <w:rsid w:val="0057039E"/>
    <w:rsid w:val="005B03DE"/>
    <w:rsid w:val="00641071"/>
    <w:rsid w:val="00675F5F"/>
    <w:rsid w:val="006D0165"/>
    <w:rsid w:val="00725ABA"/>
    <w:rsid w:val="0081540F"/>
    <w:rsid w:val="00836B82"/>
    <w:rsid w:val="00881B8C"/>
    <w:rsid w:val="00884949"/>
    <w:rsid w:val="008C3BB9"/>
    <w:rsid w:val="008D74D9"/>
    <w:rsid w:val="00910C61"/>
    <w:rsid w:val="009151C8"/>
    <w:rsid w:val="009C10B0"/>
    <w:rsid w:val="00A750E2"/>
    <w:rsid w:val="00AA1A32"/>
    <w:rsid w:val="00AE42F4"/>
    <w:rsid w:val="00AF32C8"/>
    <w:rsid w:val="00B20AF3"/>
    <w:rsid w:val="00B41B4C"/>
    <w:rsid w:val="00BE451D"/>
    <w:rsid w:val="00C50C00"/>
    <w:rsid w:val="00C65819"/>
    <w:rsid w:val="00CB397E"/>
    <w:rsid w:val="00CF7F0A"/>
    <w:rsid w:val="00D40D99"/>
    <w:rsid w:val="00D557BD"/>
    <w:rsid w:val="00D75A04"/>
    <w:rsid w:val="00D97F23"/>
    <w:rsid w:val="00DD0582"/>
    <w:rsid w:val="00DD1D9C"/>
    <w:rsid w:val="00DE341E"/>
    <w:rsid w:val="00E37D8D"/>
    <w:rsid w:val="00E41489"/>
    <w:rsid w:val="00E43D4D"/>
    <w:rsid w:val="00EC2BDF"/>
    <w:rsid w:val="00ED4ADB"/>
    <w:rsid w:val="00F24198"/>
    <w:rsid w:val="00F85BF3"/>
    <w:rsid w:val="00F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1C01-474D-409B-9DF1-4E534388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Vargas</dc:creator>
  <cp:lastModifiedBy>WWSC-2</cp:lastModifiedBy>
  <cp:revision>7</cp:revision>
  <cp:lastPrinted>2020-05-22T15:48:00Z</cp:lastPrinted>
  <dcterms:created xsi:type="dcterms:W3CDTF">2019-12-06T15:07:00Z</dcterms:created>
  <dcterms:modified xsi:type="dcterms:W3CDTF">2020-05-22T16:14:00Z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